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bookmarkStart w:id="0" w:name="_Toc425254612"/>
      <w:bookmarkStart w:id="1" w:name="_Toc496299594"/>
      <w:bookmarkStart w:id="2" w:name="_Toc496430483"/>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章 体育市场营销</w:t>
      </w:r>
      <w:r>
        <w:rPr>
          <w:rFonts w:hint="eastAsia" w:ascii="黑体" w:hAnsi="黑体" w:eastAsia="黑体"/>
          <w:sz w:val="32"/>
          <w:szCs w:val="32"/>
          <w:lang w:val="en-US" w:eastAsia="zh-CN"/>
        </w:rPr>
        <w:t>环境分析</w:t>
      </w:r>
    </w:p>
    <w:p>
      <w:pPr>
        <w:spacing w:line="360" w:lineRule="auto"/>
        <w:rPr>
          <w:rFonts w:hint="eastAsia"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基础知识训练</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单项选择题</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（1）体育</w:t>
      </w:r>
      <w:r>
        <w:rPr>
          <w:rFonts w:hint="eastAsia" w:asciiTheme="minorEastAsia" w:hAnsiTheme="minorEastAsia" w:eastAsiaTheme="minorEastAsia" w:cstheme="minorEastAsia"/>
          <w:sz w:val="24"/>
          <w:szCs w:val="24"/>
        </w:rPr>
        <w:t>企业的微观环境</w:t>
      </w:r>
      <w:r>
        <w:rPr>
          <w:rFonts w:hint="eastAsia" w:asciiTheme="minorEastAsia" w:hAnsiTheme="minorEastAsia" w:eastAsiaTheme="minorEastAsia" w:cstheme="minorEastAsia"/>
          <w:sz w:val="24"/>
          <w:szCs w:val="24"/>
          <w:lang w:eastAsia="zh-CN"/>
        </w:rPr>
        <w:t>主要指</w:t>
      </w:r>
      <w:r>
        <w:rPr>
          <w:rFonts w:hint="eastAsia" w:asciiTheme="minorEastAsia" w:hAnsiTheme="minorEastAsia" w:eastAsiaTheme="minorEastAsia" w:cstheme="minorEastAsia"/>
          <w:sz w:val="24"/>
          <w:szCs w:val="24"/>
        </w:rPr>
        <w:t>供应者、营销中介、竞争对手、公众和（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A、消费者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B、政治与法律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C、自然物质环境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D、社会文化</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恩格尔系数是根据恩格尔论述消费支出中食物支出与总支出之间的比例关系，一般来说，（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A、恩格尔系数越小，生活水平越高</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B、恩格尔系数越小，生活水平越低</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C、恩格尔系数越大，生活水平越高</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D、恩格尔系数不变，生活水平越高</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）从国家与企业层面，</w:t>
      </w:r>
      <w:r>
        <w:rPr>
          <w:rFonts w:hint="eastAsia" w:asciiTheme="minorEastAsia" w:hAnsiTheme="minorEastAsia" w:eastAsiaTheme="minorEastAsia" w:cstheme="minorEastAsia"/>
          <w:sz w:val="24"/>
          <w:szCs w:val="24"/>
        </w:rPr>
        <w:t>市场营销学认为，</w:t>
      </w:r>
      <w:r>
        <w:rPr>
          <w:rFonts w:hint="eastAsia" w:asciiTheme="minorEastAsia" w:hAnsiTheme="minorEastAsia" w:eastAsiaTheme="minorEastAsia" w:cstheme="minorEastAsia"/>
          <w:sz w:val="24"/>
          <w:szCs w:val="24"/>
          <w:lang w:eastAsia="zh-CN"/>
        </w:rPr>
        <w:t>体育</w:t>
      </w:r>
      <w:r>
        <w:rPr>
          <w:rFonts w:hint="eastAsia" w:asciiTheme="minorEastAsia" w:hAnsiTheme="minorEastAsia" w:eastAsiaTheme="minorEastAsia" w:cstheme="minorEastAsia"/>
          <w:sz w:val="24"/>
          <w:szCs w:val="24"/>
        </w:rPr>
        <w:t>企业市场营销环境包括（</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A、人口环境与经济环境      B、自然环境与文化环境      </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C、政治环境与法律环境      D、微观环境与宏观环境</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机会水平和威胁水平均很高的</w:t>
      </w:r>
      <w:r>
        <w:rPr>
          <w:rFonts w:hint="eastAsia" w:asciiTheme="minorEastAsia" w:hAnsiTheme="minorEastAsia" w:eastAsiaTheme="minorEastAsia" w:cstheme="minorEastAsia"/>
          <w:sz w:val="24"/>
          <w:szCs w:val="24"/>
          <w:lang w:eastAsia="zh-CN"/>
        </w:rPr>
        <w:t>体育</w:t>
      </w:r>
      <w:r>
        <w:rPr>
          <w:rFonts w:hint="eastAsia" w:asciiTheme="minorEastAsia" w:hAnsiTheme="minorEastAsia" w:eastAsiaTheme="minorEastAsia" w:cstheme="minorEastAsia"/>
          <w:sz w:val="24"/>
          <w:szCs w:val="24"/>
        </w:rPr>
        <w:t>企业</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业务属于 (　 )。</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A理想业务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B困难业务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C冒险业务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D成熟业务</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一种商品完全由一家或极少数几家</w:t>
      </w:r>
      <w:r>
        <w:rPr>
          <w:rFonts w:hint="eastAsia" w:asciiTheme="minorEastAsia" w:hAnsiTheme="minorEastAsia" w:eastAsiaTheme="minorEastAsia" w:cstheme="minorEastAsia"/>
          <w:sz w:val="24"/>
          <w:szCs w:val="24"/>
          <w:lang w:eastAsia="zh-CN"/>
        </w:rPr>
        <w:t>体育</w:t>
      </w:r>
      <w:r>
        <w:rPr>
          <w:rFonts w:hint="eastAsia" w:asciiTheme="minorEastAsia" w:hAnsiTheme="minorEastAsia" w:eastAsiaTheme="minorEastAsia" w:cstheme="minorEastAsia"/>
          <w:sz w:val="24"/>
          <w:szCs w:val="24"/>
        </w:rPr>
        <w:t>企业所控制的市场状态叫(　 )。</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完全竞争</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完全垄断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不完全竞争</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不完全垄断</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多项选择题</w:t>
      </w:r>
    </w:p>
    <w:p>
      <w:pPr>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以下哪些属于体育营销宏观环境（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A、法律环境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B、人口环境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经济</w:t>
      </w:r>
      <w:r>
        <w:rPr>
          <w:rFonts w:hint="eastAsia" w:asciiTheme="minorEastAsia" w:hAnsiTheme="minorEastAsia" w:eastAsiaTheme="minorEastAsia" w:cstheme="minorEastAsia"/>
          <w:sz w:val="24"/>
          <w:szCs w:val="24"/>
        </w:rPr>
        <w:t>环境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D、自然环境</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体育市场宏观环境调查主要包括（</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A、政治法律环境调查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B、经济环境调查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C、企业内部环境调查</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D、社会文化调查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E、消费者人口状况调查</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）体育企业的</w:t>
      </w:r>
      <w:r>
        <w:rPr>
          <w:rFonts w:hint="eastAsia" w:asciiTheme="minorEastAsia" w:hAnsiTheme="minorEastAsia" w:eastAsiaTheme="minorEastAsia" w:cstheme="minorEastAsia"/>
          <w:sz w:val="24"/>
          <w:szCs w:val="24"/>
          <w:lang w:val="en-US" w:eastAsia="zh-CN"/>
        </w:rPr>
        <w:t>SWOT环境分析是指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eastAsia="zh-CN"/>
        </w:rPr>
        <w:t>优势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eastAsia="zh-CN"/>
        </w:rPr>
        <w:t>劣势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机会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eastAsia="zh-CN"/>
        </w:rPr>
        <w:t>威胁</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判断题</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）体育企业</w:t>
      </w:r>
      <w:r>
        <w:rPr>
          <w:rFonts w:hint="eastAsia" w:asciiTheme="minorEastAsia" w:hAnsiTheme="minorEastAsia" w:eastAsiaTheme="minorEastAsia" w:cstheme="minorEastAsia"/>
          <w:sz w:val="24"/>
          <w:szCs w:val="24"/>
        </w:rPr>
        <w:t>宏观环境是指哪些作用于间接营销环境，并因此而造成市场机会或环境威胁的主要社会力量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）体育企业</w:t>
      </w:r>
      <w:r>
        <w:rPr>
          <w:rFonts w:hint="eastAsia" w:asciiTheme="minorEastAsia" w:hAnsiTheme="minorEastAsia" w:eastAsiaTheme="minorEastAsia" w:cstheme="minorEastAsia"/>
          <w:sz w:val="24"/>
          <w:szCs w:val="24"/>
        </w:rPr>
        <w:t>微观环境是指对企业服务及目标市场的营销能力构成直接影响的各种力量。（   ）</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.简答题</w:t>
      </w:r>
    </w:p>
    <w:p>
      <w:pPr>
        <w:pageBreakBefore w:val="0"/>
        <w:widowControl/>
        <w:kinsoku/>
        <w:wordWrap/>
        <w:overflowPunct/>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体育市场营销宏观环境包括哪些</w:t>
      </w:r>
      <w:r>
        <w:rPr>
          <w:rFonts w:hint="eastAsia" w:asciiTheme="minorEastAsia" w:hAnsiTheme="minorEastAsia" w:eastAsiaTheme="minorEastAsia" w:cstheme="minorEastAsia"/>
          <w:sz w:val="24"/>
          <w:szCs w:val="24"/>
        </w:rPr>
        <w:t>？</w:t>
      </w:r>
    </w:p>
    <w:p>
      <w:pPr>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（2）体育市场营销微观环境包括哪些</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p>
    <w:p>
      <w:pPr>
        <w:pageBreakBefore w:val="0"/>
        <w:numPr>
          <w:ilvl w:val="0"/>
          <w:numId w:val="0"/>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二、案例分析训练</w:t>
      </w:r>
    </w:p>
    <w:p>
      <w:pPr>
        <w:spacing w:line="360" w:lineRule="auto"/>
        <w:jc w:val="center"/>
        <w:rPr>
          <w:rFonts w:hint="eastAsia" w:ascii="宋体" w:hAnsi="宋体" w:cstheme="minorBidi"/>
          <w:b/>
          <w:bCs/>
          <w:sz w:val="24"/>
          <w:lang w:eastAsia="zh-CN"/>
        </w:rPr>
      </w:pPr>
      <w:r>
        <w:rPr>
          <w:rFonts w:hint="eastAsia" w:ascii="宋体" w:hAnsi="宋体" w:cstheme="minorBidi"/>
          <w:b/>
          <w:bCs/>
          <w:sz w:val="24"/>
          <w:lang w:eastAsia="zh-CN"/>
        </w:rPr>
        <w:t>国内</w:t>
      </w:r>
      <w:r>
        <w:rPr>
          <w:rFonts w:hint="eastAsia" w:ascii="宋体" w:hAnsi="宋体" w:eastAsia="宋体" w:cstheme="minorBidi"/>
          <w:b/>
          <w:bCs/>
          <w:sz w:val="24"/>
        </w:rPr>
        <w:t>度假型高尔夫</w:t>
      </w:r>
      <w:r>
        <w:rPr>
          <w:rFonts w:hint="eastAsia" w:ascii="宋体" w:hAnsi="宋体" w:cstheme="minorBidi"/>
          <w:b/>
          <w:bCs/>
          <w:sz w:val="24"/>
          <w:lang w:eastAsia="zh-CN"/>
        </w:rPr>
        <w:t>俱乐部及特点</w:t>
      </w:r>
    </w:p>
    <w:p>
      <w:pPr>
        <w:spacing w:line="360" w:lineRule="auto"/>
        <w:ind w:firstLine="481"/>
        <w:jc w:val="both"/>
        <w:rPr>
          <w:rFonts w:hint="eastAsia" w:ascii="宋体" w:hAnsi="宋体"/>
          <w:sz w:val="24"/>
          <w:lang w:val="en-US" w:eastAsia="zh-CN"/>
        </w:rPr>
      </w:pPr>
      <w:r>
        <w:rPr>
          <w:rFonts w:hint="eastAsia" w:ascii="宋体" w:hAnsi="宋体" w:eastAsia="宋体"/>
          <w:sz w:val="24"/>
          <w:lang w:val="en-US" w:eastAsia="zh-CN"/>
        </w:rPr>
        <w:t>以下是</w:t>
      </w:r>
      <w:r>
        <w:rPr>
          <w:rFonts w:hint="eastAsia" w:ascii="宋体" w:hAnsi="宋体"/>
          <w:sz w:val="24"/>
          <w:lang w:val="en-US" w:eastAsia="zh-CN"/>
        </w:rPr>
        <w:t>国内度假型高尔夫俱乐部的分布及各自特点，福州市某企业意欲建一所度假型高尔夫俱乐部。</w:t>
      </w:r>
    </w:p>
    <w:p>
      <w:pPr>
        <w:spacing w:line="360" w:lineRule="auto"/>
        <w:jc w:val="center"/>
        <w:rPr>
          <w:rFonts w:hint="eastAsia" w:ascii="宋体" w:hAnsi="宋体" w:eastAsia="宋体"/>
          <w:bCs/>
          <w:szCs w:val="21"/>
          <w:lang w:eastAsia="zh-CN"/>
        </w:rPr>
      </w:pPr>
      <w:r>
        <w:rPr>
          <w:rFonts w:hint="eastAsia" w:ascii="宋体" w:hAnsi="宋体" w:eastAsia="宋体"/>
          <w:bCs/>
          <w:szCs w:val="21"/>
        </w:rPr>
        <w:t>表</w:t>
      </w:r>
      <w:r>
        <w:rPr>
          <w:rFonts w:ascii="宋体" w:hAnsi="宋体" w:eastAsia="宋体"/>
          <w:bCs/>
          <w:szCs w:val="21"/>
        </w:rPr>
        <w:t xml:space="preserve">1 </w:t>
      </w:r>
      <w:r>
        <w:rPr>
          <w:rFonts w:hint="eastAsia" w:ascii="宋体" w:hAnsi="宋体"/>
          <w:bCs/>
          <w:szCs w:val="21"/>
          <w:lang w:eastAsia="zh-CN"/>
        </w:rPr>
        <w:t>国内度假型高尔夫俱乐部及特点</w:t>
      </w:r>
    </w:p>
    <w:tbl>
      <w:tblPr>
        <w:tblStyle w:val="4"/>
        <w:tblW w:w="9062" w:type="dxa"/>
        <w:jc w:val="center"/>
        <w:tblInd w:w="-147"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72"/>
        <w:gridCol w:w="579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tcBorders>
              <w:top w:val="single" w:color="000000" w:themeColor="text1" w:sz="8" w:space="0"/>
              <w:bottom w:val="single" w:color="000000" w:themeColor="text1" w:sz="8" w:space="0"/>
            </w:tcBorders>
            <w:vAlign w:val="center"/>
          </w:tcPr>
          <w:p>
            <w:pPr>
              <w:spacing w:line="276" w:lineRule="auto"/>
              <w:jc w:val="center"/>
              <w:rPr>
                <w:rFonts w:hint="eastAsia" w:eastAsia="宋体"/>
                <w:b/>
                <w:szCs w:val="21"/>
                <w:lang w:eastAsia="zh-CN"/>
              </w:rPr>
            </w:pPr>
            <w:r>
              <w:rPr>
                <w:rFonts w:hint="eastAsia"/>
                <w:b/>
                <w:szCs w:val="21"/>
                <w:lang w:eastAsia="zh-CN"/>
              </w:rPr>
              <w:t>球场</w:t>
            </w:r>
          </w:p>
        </w:tc>
        <w:tc>
          <w:tcPr>
            <w:tcW w:w="5790" w:type="dxa"/>
            <w:tcBorders>
              <w:top w:val="single" w:color="000000" w:themeColor="text1" w:sz="8" w:space="0"/>
              <w:bottom w:val="single" w:color="000000" w:themeColor="text1" w:sz="8" w:space="0"/>
            </w:tcBorders>
            <w:vAlign w:val="center"/>
          </w:tcPr>
          <w:p>
            <w:pPr>
              <w:spacing w:line="276" w:lineRule="auto"/>
              <w:jc w:val="center"/>
              <w:rPr>
                <w:rFonts w:hint="eastAsia" w:eastAsia="宋体"/>
                <w:b/>
                <w:szCs w:val="21"/>
                <w:lang w:eastAsia="zh-CN"/>
              </w:rPr>
            </w:pPr>
            <w:r>
              <w:rPr>
                <w:rFonts w:hint="eastAsia"/>
                <w:b/>
                <w:szCs w:val="21"/>
                <w:lang w:eastAsia="zh-CN"/>
              </w:rPr>
              <w:t>特点</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tcBorders>
              <w:top w:val="single" w:color="000000" w:themeColor="text1" w:sz="8" w:space="0"/>
            </w:tcBorders>
            <w:vAlign w:val="center"/>
          </w:tcPr>
          <w:p>
            <w:pPr>
              <w:spacing w:line="276" w:lineRule="auto"/>
              <w:rPr>
                <w:rFonts w:hint="eastAsia" w:eastAsia="宋体"/>
                <w:szCs w:val="21"/>
                <w:lang w:eastAsia="zh-CN"/>
              </w:rPr>
            </w:pPr>
            <w:r>
              <w:rPr>
                <w:rFonts w:hint="eastAsia"/>
                <w:szCs w:val="21"/>
                <w:lang w:eastAsia="zh-CN"/>
              </w:rPr>
              <w:t>云南昆明春城湖畔度假村</w:t>
            </w:r>
          </w:p>
        </w:tc>
        <w:tc>
          <w:tcPr>
            <w:tcW w:w="5790" w:type="dxa"/>
            <w:tcBorders>
              <w:top w:val="single" w:color="000000" w:themeColor="text1" w:sz="8" w:space="0"/>
            </w:tcBorders>
            <w:vAlign w:val="center"/>
          </w:tcPr>
          <w:p>
            <w:pPr>
              <w:spacing w:line="276" w:lineRule="auto"/>
              <w:rPr>
                <w:rFonts w:hint="eastAsia" w:eastAsia="宋体"/>
                <w:szCs w:val="21"/>
                <w:lang w:eastAsia="zh-CN"/>
              </w:rPr>
            </w:pPr>
            <w:r>
              <w:rPr>
                <w:rFonts w:hint="eastAsia"/>
                <w:szCs w:val="21"/>
                <w:lang w:eastAsia="zh-CN"/>
              </w:rPr>
              <w:t>有“亚洲高尔夫天堂”美誉的旅游度假型球场的典型代表</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云南丽江古城湖畔高尔夫俱乐部</w:t>
            </w:r>
          </w:p>
        </w:tc>
        <w:tc>
          <w:tcPr>
            <w:tcW w:w="5790" w:type="dxa"/>
            <w:vAlign w:val="center"/>
          </w:tcPr>
          <w:p>
            <w:pPr>
              <w:spacing w:line="276" w:lineRule="auto"/>
              <w:rPr>
                <w:rFonts w:hint="eastAsia" w:eastAsia="宋体"/>
                <w:szCs w:val="21"/>
                <w:lang w:eastAsia="zh-CN"/>
              </w:rPr>
            </w:pPr>
            <w:r>
              <w:rPr>
                <w:rFonts w:hint="eastAsia"/>
                <w:szCs w:val="21"/>
                <w:lang w:eastAsia="zh-CN"/>
              </w:rPr>
              <w:t>定位为“国内第一休闲度假型高尔夫球场”</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海南亚龙湾高尔夫球会</w:t>
            </w:r>
          </w:p>
        </w:tc>
        <w:tc>
          <w:tcPr>
            <w:tcW w:w="5790" w:type="dxa"/>
            <w:vAlign w:val="center"/>
          </w:tcPr>
          <w:p>
            <w:pPr>
              <w:spacing w:line="276" w:lineRule="auto"/>
              <w:rPr>
                <w:rFonts w:hint="eastAsia" w:eastAsia="宋体"/>
                <w:szCs w:val="21"/>
                <w:lang w:eastAsia="zh-CN"/>
              </w:rPr>
            </w:pPr>
            <w:r>
              <w:rPr>
                <w:rFonts w:hint="eastAsia"/>
                <w:szCs w:val="21"/>
                <w:lang w:eastAsia="zh-CN"/>
              </w:rPr>
              <w:t>定位为“滨海地冠军赛度假型球场”</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海南博鳌亚洲论坛国际会议中心高尔夫球会</w:t>
            </w:r>
          </w:p>
        </w:tc>
        <w:tc>
          <w:tcPr>
            <w:tcW w:w="5790" w:type="dxa"/>
            <w:vAlign w:val="center"/>
          </w:tcPr>
          <w:p>
            <w:pPr>
              <w:spacing w:line="276" w:lineRule="auto"/>
              <w:rPr>
                <w:rFonts w:hint="eastAsia" w:eastAsia="宋体"/>
                <w:szCs w:val="21"/>
                <w:lang w:eastAsia="zh-CN"/>
              </w:rPr>
            </w:pPr>
            <w:r>
              <w:rPr>
                <w:rFonts w:hint="eastAsia"/>
                <w:szCs w:val="21"/>
                <w:lang w:eastAsia="zh-CN"/>
              </w:rPr>
              <w:t>依托于“博鳌亚洲论坛”的国内典型“商务度假型球场”</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桂林乐满地高尔夫俱乐部</w:t>
            </w:r>
          </w:p>
        </w:tc>
        <w:tc>
          <w:tcPr>
            <w:tcW w:w="5790" w:type="dxa"/>
            <w:vAlign w:val="center"/>
          </w:tcPr>
          <w:p>
            <w:pPr>
              <w:spacing w:line="276" w:lineRule="auto"/>
              <w:rPr>
                <w:rFonts w:hint="default" w:eastAsia="宋体"/>
                <w:szCs w:val="21"/>
                <w:lang w:val="en-US" w:eastAsia="zh-CN"/>
              </w:rPr>
            </w:pPr>
            <w:r>
              <w:rPr>
                <w:rFonts w:hint="eastAsia"/>
                <w:szCs w:val="21"/>
                <w:lang w:eastAsia="zh-CN"/>
              </w:rPr>
              <w:t>依托于国家</w:t>
            </w:r>
            <w:r>
              <w:rPr>
                <w:rFonts w:hint="eastAsia"/>
                <w:szCs w:val="21"/>
                <w:lang w:val="en-US" w:eastAsia="zh-CN"/>
              </w:rPr>
              <w:t>5A级旅游景区桂林乐满地度假世界的旅游度假球场</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珠海万盛乡村俱乐部</w:t>
            </w:r>
          </w:p>
        </w:tc>
        <w:tc>
          <w:tcPr>
            <w:tcW w:w="5790" w:type="dxa"/>
            <w:vAlign w:val="center"/>
          </w:tcPr>
          <w:p>
            <w:pPr>
              <w:spacing w:line="276" w:lineRule="auto"/>
              <w:rPr>
                <w:rFonts w:hint="eastAsia" w:eastAsia="宋体"/>
                <w:szCs w:val="21"/>
                <w:lang w:eastAsia="zh-CN"/>
              </w:rPr>
            </w:pPr>
            <w:r>
              <w:rPr>
                <w:rFonts w:hint="eastAsia"/>
                <w:szCs w:val="21"/>
                <w:lang w:eastAsia="zh-CN"/>
              </w:rPr>
              <w:t>在珠三角最适合人居的滨海旅游城市珠海，多数为外地旅游、度假客户</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3272" w:type="dxa"/>
            <w:vAlign w:val="center"/>
          </w:tcPr>
          <w:p>
            <w:pPr>
              <w:spacing w:line="276" w:lineRule="auto"/>
              <w:rPr>
                <w:rFonts w:hint="eastAsia" w:eastAsia="宋体"/>
                <w:szCs w:val="21"/>
                <w:lang w:eastAsia="zh-CN"/>
              </w:rPr>
            </w:pPr>
            <w:r>
              <w:rPr>
                <w:rFonts w:hint="eastAsia"/>
                <w:szCs w:val="21"/>
                <w:lang w:eastAsia="zh-CN"/>
              </w:rPr>
              <w:t>肇庆高尔夫度假村</w:t>
            </w:r>
          </w:p>
        </w:tc>
        <w:tc>
          <w:tcPr>
            <w:tcW w:w="5790" w:type="dxa"/>
            <w:vAlign w:val="center"/>
          </w:tcPr>
          <w:p>
            <w:pPr>
              <w:spacing w:line="276" w:lineRule="auto"/>
              <w:rPr>
                <w:rFonts w:hint="eastAsia" w:eastAsia="宋体"/>
                <w:szCs w:val="21"/>
                <w:lang w:eastAsia="zh-CN"/>
              </w:rPr>
            </w:pPr>
            <w:r>
              <w:rPr>
                <w:rFonts w:hint="eastAsia"/>
                <w:szCs w:val="21"/>
                <w:lang w:eastAsia="zh-CN"/>
              </w:rPr>
              <w:t>处于珠三角相对欠发达区域，本地市场小，主要依赖外地市场</w:t>
            </w:r>
          </w:p>
        </w:tc>
      </w:tr>
    </w:tbl>
    <w:p>
      <w:pPr>
        <w:spacing w:line="360" w:lineRule="auto"/>
        <w:rPr>
          <w:rFonts w:ascii="宋体" w:hAnsi="宋体" w:eastAsia="宋体"/>
          <w:sz w:val="24"/>
        </w:rPr>
      </w:pPr>
      <w:r>
        <w:rPr>
          <w:rFonts w:hint="eastAsia" w:ascii="宋体" w:hAnsi="宋体" w:eastAsia="宋体"/>
          <w:sz w:val="24"/>
        </w:rPr>
        <w:t>【分析与探讨】</w:t>
      </w:r>
    </w:p>
    <w:p>
      <w:pPr>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sz w:val="24"/>
          <w:szCs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eastAsia="宋体"/>
          <w:sz w:val="24"/>
        </w:rPr>
        <w:t>结合</w:t>
      </w:r>
      <w:r>
        <w:rPr>
          <w:rFonts w:hint="eastAsia" w:ascii="宋体" w:hAnsi="宋体"/>
          <w:sz w:val="24"/>
          <w:lang w:eastAsia="zh-CN"/>
        </w:rPr>
        <w:t>以上素材，对</w:t>
      </w:r>
      <w:r>
        <w:rPr>
          <w:rFonts w:hint="eastAsia" w:asciiTheme="minorEastAsia" w:hAnsiTheme="minorEastAsia" w:eastAsiaTheme="minorEastAsia" w:cstheme="minorEastAsia"/>
          <w:sz w:val="24"/>
          <w:szCs w:val="24"/>
          <w:lang w:eastAsia="zh-CN"/>
        </w:rPr>
        <w:t>福州这所</w:t>
      </w:r>
      <w:r>
        <w:rPr>
          <w:rFonts w:hint="eastAsia" w:asciiTheme="minorEastAsia" w:hAnsiTheme="minorEastAsia" w:eastAsiaTheme="minorEastAsia" w:cstheme="minorEastAsia"/>
          <w:sz w:val="24"/>
          <w:szCs w:val="24"/>
        </w:rPr>
        <w:t>度假型高尔夫</w:t>
      </w:r>
      <w:r>
        <w:rPr>
          <w:rFonts w:hint="eastAsia" w:asciiTheme="minorEastAsia" w:hAnsiTheme="minorEastAsia" w:eastAsiaTheme="minorEastAsia" w:cstheme="minorEastAsia"/>
          <w:sz w:val="24"/>
          <w:szCs w:val="24"/>
          <w:lang w:eastAsia="zh-CN"/>
        </w:rPr>
        <w:t>俱乐部进行市场</w:t>
      </w:r>
      <w:r>
        <w:rPr>
          <w:rFonts w:hint="eastAsia" w:asciiTheme="minorEastAsia" w:hAnsiTheme="minorEastAsia" w:eastAsiaTheme="minorEastAsia" w:cstheme="minorEastAsia"/>
          <w:sz w:val="24"/>
          <w:szCs w:val="24"/>
        </w:rPr>
        <w:t>营销环境分析</w:t>
      </w:r>
      <w:r>
        <w:rPr>
          <w:rFonts w:hint="eastAsia" w:asciiTheme="minorEastAsia" w:hAnsiTheme="minorEastAsia" w:eastAsiaTheme="minorEastAsia" w:cstheme="minorEastAsia"/>
          <w:sz w:val="24"/>
          <w:szCs w:val="24"/>
          <w:lang w:eastAsia="zh-CN"/>
        </w:rPr>
        <w:t>？</w:t>
      </w:r>
      <w:bookmarkEnd w:id="0"/>
      <w:bookmarkEnd w:id="1"/>
      <w:bookmarkEnd w:id="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2F4D"/>
    <w:rsid w:val="29197A3E"/>
    <w:rsid w:val="33AC1588"/>
    <w:rsid w:val="3A350FD9"/>
    <w:rsid w:val="426F675A"/>
    <w:rsid w:val="5A905769"/>
    <w:rsid w:val="669C145B"/>
    <w:rsid w:val="68FA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2021-01-24T10:48:00Z</dcterms:created>
  <dc:creator>Win10</dc:creator>
  <cp:lastModifiedBy>lenovo</cp:lastModifiedBy>
  <dcterms:modified xsi:type="dcterms:W3CDTF">2021-05-03T02:46:37Z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